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75" w:firstLineChars="1700"/>
        <w:jc w:val="left"/>
        <w:rPr>
          <w:rFonts w:ascii="仿宋" w:hAnsi="仿宋" w:eastAsia="仿宋" w:cs="Arial"/>
          <w:b/>
          <w:bCs/>
          <w:color w:val="333333"/>
          <w:sz w:val="52"/>
          <w:szCs w:val="52"/>
        </w:rPr>
      </w:pPr>
      <w:bookmarkStart w:id="0" w:name="_GoBack"/>
      <w:bookmarkEnd w:id="0"/>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甲方：</w:t>
      </w:r>
      <w:r>
        <w:rPr>
          <w:rFonts w:hint="eastAsia" w:ascii="仿宋_GB2312" w:hAnsi="仿宋_GB2312" w:eastAsia="仿宋_GB2312" w:cs="仿宋_GB2312"/>
          <w:color w:val="333333"/>
          <w:sz w:val="32"/>
          <w:szCs w:val="32"/>
          <w:highlight w:val="none"/>
        </w:rPr>
        <w:t>博罗产业转移工业园管理委员会</w:t>
      </w:r>
    </w:p>
    <w:p>
      <w:pPr>
        <w:jc w:val="left"/>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授权</w:t>
      </w:r>
      <w:r>
        <w:rPr>
          <w:rFonts w:hint="eastAsia" w:ascii="仿宋" w:hAnsi="仿宋" w:eastAsia="仿宋" w:cs="Arial"/>
          <w:color w:val="auto"/>
          <w:sz w:val="32"/>
          <w:szCs w:val="32"/>
          <w:highlight w:val="none"/>
        </w:rPr>
        <w:t>代表</w:t>
      </w:r>
      <w:r>
        <w:rPr>
          <w:rFonts w:hint="eastAsia" w:ascii="仿宋" w:hAnsi="仿宋" w:eastAsia="仿宋" w:cs="Arial"/>
          <w:color w:val="auto"/>
          <w:sz w:val="32"/>
          <w:szCs w:val="32"/>
          <w:highlight w:val="none"/>
          <w:lang w:val="en-US" w:eastAsia="zh-CN"/>
        </w:rPr>
        <w:t>人</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卢慧明</w:t>
      </w:r>
    </w:p>
    <w:p>
      <w:pPr>
        <w:jc w:val="left"/>
        <w:rPr>
          <w:rFonts w:hint="eastAsia" w:ascii="仿宋_GB2312" w:hAnsi="仿宋_GB2312" w:eastAsia="仿宋_GB2312" w:cs="仿宋_GB2312"/>
          <w:color w:val="333333"/>
          <w:sz w:val="32"/>
          <w:szCs w:val="32"/>
          <w:highlight w:val="none"/>
          <w:lang w:val="en-US" w:eastAsia="zh-CN"/>
        </w:rPr>
      </w:pPr>
      <w:r>
        <w:rPr>
          <w:rFonts w:hint="eastAsia" w:ascii="仿宋" w:hAnsi="仿宋" w:eastAsia="仿宋" w:cs="Arial"/>
          <w:color w:val="auto"/>
          <w:sz w:val="32"/>
          <w:szCs w:val="32"/>
          <w:highlight w:val="none"/>
        </w:rPr>
        <w:t>地址：</w:t>
      </w:r>
      <w:r>
        <w:rPr>
          <w:rFonts w:hint="eastAsia" w:ascii="仿宋_GB2312" w:hAnsi="仿宋_GB2312" w:eastAsia="仿宋_GB2312" w:cs="仿宋_GB2312"/>
          <w:color w:val="333333"/>
          <w:sz w:val="32"/>
          <w:szCs w:val="32"/>
          <w:highlight w:val="none"/>
        </w:rPr>
        <w:t>博罗县石湾镇振兴大道汽车产业园商业街A栋130</w:t>
      </w:r>
      <w:r>
        <w:rPr>
          <w:rFonts w:hint="eastAsia" w:ascii="仿宋_GB2312" w:hAnsi="仿宋_GB2312" w:eastAsia="仿宋_GB2312" w:cs="仿宋_GB2312"/>
          <w:color w:val="333333"/>
          <w:sz w:val="32"/>
          <w:szCs w:val="32"/>
          <w:highlight w:val="none"/>
          <w:lang w:val="en-US" w:eastAsia="zh-CN"/>
        </w:rPr>
        <w:t>号</w:t>
      </w:r>
    </w:p>
    <w:p>
      <w:pPr>
        <w:jc w:val="left"/>
        <w:rPr>
          <w:rFonts w:ascii="仿宋" w:hAnsi="仿宋" w:eastAsia="仿宋" w:cs="Arial"/>
          <w:color w:val="auto"/>
          <w:sz w:val="32"/>
          <w:szCs w:val="32"/>
          <w:highlight w:val="yellow"/>
        </w:rPr>
      </w:pP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博罗县石湾镇振兴南一路北侧地段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21064</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107号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2.0～3.0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 xml:space="preserve">1.乙方拟在本宗地投资建设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w:t>
      </w:r>
      <w:r>
        <w:rPr>
          <w:rFonts w:hint="eastAsia" w:ascii="仿宋" w:hAnsi="仿宋" w:eastAsia="仿宋" w:cs="Arial"/>
          <w:color w:val="auto"/>
          <w:sz w:val="32"/>
          <w:szCs w:val="32"/>
          <w:u w:val="single"/>
          <w:lang w:val="en-US" w:eastAsia="zh-CN"/>
        </w:rPr>
        <w:t xml:space="preserve"> 生产经营烘干机及污泥烘干生产线的生产 </w:t>
      </w:r>
      <w:r>
        <w:rPr>
          <w:rFonts w:hint="eastAsia" w:ascii="仿宋" w:hAnsi="仿宋" w:eastAsia="仿宋" w:cs="Arial"/>
          <w:color w:val="auto"/>
          <w:sz w:val="32"/>
          <w:szCs w:val="32"/>
        </w:rPr>
        <w:t>。</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2</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highlight w:val="none"/>
          <w:u w:val="single"/>
          <w:lang w:val="en-US" w:eastAsia="zh-CN"/>
        </w:rPr>
        <w:t xml:space="preserve"> 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rPr>
        <w:t>3.乙方项目宗地面积约为</w:t>
      </w:r>
      <w:r>
        <w:rPr>
          <w:rFonts w:hint="eastAsia" w:ascii="仿宋" w:hAnsi="仿宋" w:eastAsia="仿宋" w:cs="Arial"/>
          <w:color w:val="auto"/>
          <w:sz w:val="32"/>
          <w:szCs w:val="32"/>
          <w:highlight w:val="none"/>
          <w:u w:val="single"/>
          <w:lang w:val="en-US" w:eastAsia="zh-CN"/>
        </w:rPr>
        <w:t xml:space="preserve"> 21064 </w:t>
      </w:r>
      <w:r>
        <w:rPr>
          <w:rFonts w:hint="eastAsia" w:ascii="仿宋" w:hAnsi="仿宋" w:eastAsia="仿宋" w:cs="Arial"/>
          <w:color w:val="auto"/>
          <w:sz w:val="32"/>
          <w:szCs w:val="32"/>
          <w:highlight w:val="none"/>
          <w:u w:val="none"/>
          <w:lang w:val="en-US" w:eastAsia="zh-CN"/>
        </w:rPr>
        <w:t>平方米</w:t>
      </w:r>
      <w:r>
        <w:rPr>
          <w:rFonts w:hint="eastAsia" w:ascii="仿宋" w:hAnsi="仿宋" w:eastAsia="仿宋" w:cs="Arial"/>
          <w:color w:val="auto"/>
          <w:sz w:val="32"/>
          <w:szCs w:val="32"/>
          <w:highlight w:val="none"/>
        </w:rPr>
        <w:t>（具体面积等指标以自然资源部门实际挂牌文件为准），容积率</w:t>
      </w:r>
      <w:r>
        <w:rPr>
          <w:rFonts w:hint="eastAsia" w:ascii="仿宋" w:hAnsi="仿宋" w:eastAsia="仿宋" w:cs="Arial"/>
          <w:color w:val="auto"/>
          <w:sz w:val="32"/>
          <w:szCs w:val="32"/>
          <w:highlight w:val="none"/>
          <w:u w:val="single"/>
          <w:lang w:val="en-US" w:eastAsia="zh-CN"/>
        </w:rPr>
        <w:t xml:space="preserve"> 2.0-3.0  </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项目</w:t>
      </w:r>
      <w:r>
        <w:rPr>
          <w:rFonts w:hint="eastAsia" w:ascii="仿宋" w:hAnsi="仿宋" w:eastAsia="仿宋" w:cs="Arial"/>
          <w:color w:val="auto"/>
          <w:sz w:val="32"/>
          <w:szCs w:val="32"/>
          <w:highlight w:val="none"/>
        </w:rPr>
        <w:t>投资总额</w:t>
      </w:r>
      <w:r>
        <w:rPr>
          <w:rFonts w:hint="eastAsia" w:ascii="仿宋" w:hAnsi="仿宋" w:eastAsia="仿宋" w:cs="Arial"/>
          <w:color w:val="auto"/>
          <w:sz w:val="32"/>
          <w:szCs w:val="32"/>
          <w:highlight w:val="none"/>
          <w:lang w:val="en-US" w:eastAsia="zh-CN"/>
        </w:rPr>
        <w:t>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1.7 </w:t>
      </w:r>
      <w:r>
        <w:rPr>
          <w:rFonts w:hint="eastAsia" w:ascii="仿宋" w:hAnsi="仿宋" w:eastAsia="仿宋" w:cs="Arial"/>
          <w:color w:val="auto"/>
          <w:sz w:val="32"/>
          <w:szCs w:val="32"/>
          <w:highlight w:val="none"/>
          <w:u w:val="none"/>
          <w:lang w:val="en-US" w:eastAsia="zh-CN"/>
        </w:rPr>
        <w:t>亿元</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乙方承诺：项目</w:t>
      </w:r>
      <w:r>
        <w:rPr>
          <w:rFonts w:hint="eastAsia" w:ascii="仿宋" w:hAnsi="仿宋" w:eastAsia="仿宋" w:cs="Arial"/>
          <w:color w:val="auto"/>
          <w:sz w:val="32"/>
          <w:szCs w:val="32"/>
          <w:highlight w:val="none"/>
          <w:lang w:val="en-US" w:eastAsia="zh-CN"/>
        </w:rPr>
        <w:t>固定资产</w:t>
      </w:r>
      <w:r>
        <w:rPr>
          <w:rFonts w:hint="eastAsia" w:ascii="仿宋" w:hAnsi="仿宋" w:eastAsia="仿宋" w:cs="Arial"/>
          <w:color w:val="auto"/>
          <w:sz w:val="32"/>
          <w:szCs w:val="32"/>
          <w:highlight w:val="none"/>
        </w:rPr>
        <w:t>投资强度不低于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540 </w:t>
      </w:r>
      <w:r>
        <w:rPr>
          <w:rFonts w:hint="eastAsia" w:ascii="仿宋" w:hAnsi="仿宋" w:eastAsia="仿宋" w:cs="Arial"/>
          <w:color w:val="auto"/>
          <w:sz w:val="32"/>
          <w:szCs w:val="32"/>
          <w:highlight w:val="none"/>
        </w:rPr>
        <w:t>万元/亩（人民币），</w:t>
      </w:r>
      <w:r>
        <w:rPr>
          <w:rFonts w:hint="eastAsia" w:ascii="仿宋" w:hAnsi="仿宋" w:eastAsia="仿宋" w:cs="Arial"/>
          <w:color w:val="auto"/>
          <w:sz w:val="32"/>
          <w:szCs w:val="32"/>
          <w:highlight w:val="none"/>
          <w:lang w:val="en-US" w:eastAsia="zh-CN"/>
        </w:rPr>
        <w:t>项目建成全年</w:t>
      </w:r>
      <w:r>
        <w:rPr>
          <w:rFonts w:hint="eastAsia" w:ascii="仿宋" w:hAnsi="仿宋" w:eastAsia="仿宋" w:cs="Arial"/>
          <w:color w:val="auto"/>
          <w:sz w:val="32"/>
          <w:szCs w:val="32"/>
          <w:highlight w:val="none"/>
        </w:rPr>
        <w:t>达产后，可实现年产值不低于</w:t>
      </w:r>
      <w:r>
        <w:rPr>
          <w:rFonts w:hint="eastAsia" w:ascii="仿宋" w:hAnsi="仿宋" w:eastAsia="仿宋" w:cs="Arial"/>
          <w:color w:val="auto"/>
          <w:sz w:val="32"/>
          <w:szCs w:val="32"/>
          <w:highlight w:val="none"/>
          <w:u w:val="single"/>
          <w:lang w:val="en-US" w:eastAsia="zh-CN"/>
        </w:rPr>
        <w:t xml:space="preserve"> 1200</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rPr>
        <w:t>万元/亩（人民币），年</w:t>
      </w:r>
      <w:r>
        <w:rPr>
          <w:rFonts w:hint="eastAsia" w:ascii="仿宋" w:hAnsi="仿宋" w:eastAsia="仿宋" w:cs="Arial"/>
          <w:color w:val="auto"/>
          <w:sz w:val="32"/>
          <w:szCs w:val="32"/>
          <w:highlight w:val="none"/>
          <w:lang w:val="en-US" w:eastAsia="zh-CN"/>
        </w:rPr>
        <w:t>纳税总额</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 xml:space="preserve"> 50 </w:t>
      </w:r>
      <w:r>
        <w:rPr>
          <w:rFonts w:hint="eastAsia" w:ascii="仿宋" w:hAnsi="仿宋" w:eastAsia="仿宋" w:cs="Arial"/>
          <w:color w:val="auto"/>
          <w:sz w:val="32"/>
          <w:szCs w:val="32"/>
          <w:highlight w:val="none"/>
        </w:rPr>
        <w:t>万元/亩（人民币）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4.</w:t>
      </w:r>
      <w:r>
        <w:rPr>
          <w:rFonts w:hint="eastAsia" w:ascii="仿宋" w:hAnsi="仿宋" w:eastAsia="仿宋" w:cs="Arial"/>
          <w:color w:val="auto"/>
          <w:sz w:val="32"/>
          <w:szCs w:val="32"/>
          <w:highlight w:val="none"/>
          <w:lang w:val="en-US" w:eastAsia="zh-CN"/>
        </w:rPr>
        <w:t>乙方承诺，自签订本协议之日起至考核期结束，项目产值能耗水平（单位工业总产值的能耗量）不得超过博罗县工业企业平均能耗水平或同行业平均能耗水平（以当年数值为准）。</w:t>
      </w:r>
    </w:p>
    <w:p>
      <w:pPr>
        <w:ind w:left="640" w:leftChars="305" w:firstLine="0" w:firstLineChars="0"/>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甲方负责乙方项目竣工验收后的运营监管工作。</w:t>
      </w:r>
    </w:p>
    <w:p>
      <w:pPr>
        <w:ind w:firstLine="640" w:firstLineChars="200"/>
        <w:rPr>
          <w:rFonts w:hint="eastAsia" w:ascii="仿宋" w:hAnsi="仿宋" w:eastAsia="仿宋" w:cs="Arial"/>
          <w:color w:val="auto"/>
          <w:sz w:val="32"/>
          <w:szCs w:val="32"/>
        </w:rPr>
      </w:pP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3.乙方项目达产后1个月内，须书面向甲方报告达产时间及生产经营情况。</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4.乙方签署本协议之日起，</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 xml:space="preserve">第四条  </w:t>
      </w:r>
      <w:r>
        <w:rPr>
          <w:rFonts w:hint="eastAsia" w:ascii="仿宋" w:hAnsi="仿宋" w:eastAsia="仿宋" w:cs="Arial"/>
          <w:b/>
          <w:color w:val="auto"/>
          <w:sz w:val="32"/>
          <w:szCs w:val="32"/>
          <w:lang w:val="en-US" w:eastAsia="zh-CN"/>
        </w:rPr>
        <w:t>履约考核和</w:t>
      </w:r>
      <w:r>
        <w:rPr>
          <w:rFonts w:hint="eastAsia" w:ascii="仿宋" w:hAnsi="仿宋" w:eastAsia="仿宋" w:cs="Arial"/>
          <w:b/>
          <w:color w:val="auto"/>
          <w:sz w:val="32"/>
          <w:szCs w:val="32"/>
        </w:rPr>
        <w:t>违约责任</w:t>
      </w:r>
    </w:p>
    <w:p>
      <w:pPr>
        <w:ind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乙方确保项目在取得土地使用权后2个月以内投资动工建设(动工建设是指办理建设许可手续及进行实际施工)。若乙方在取得土地使用权后一年内未动工建设的，则按征收基数(以“招拍挂"方式取得用地的合同地价作为土地闲置费征收基数)的20%缴交土地闲置费。如果闲置两年，全部土地无偿收回。</w:t>
      </w:r>
    </w:p>
    <w:p>
      <w:pPr>
        <w:ind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2.</w:t>
      </w:r>
      <w:r>
        <w:rPr>
          <w:rFonts w:hint="eastAsia" w:ascii="仿宋" w:hAnsi="仿宋" w:eastAsia="仿宋" w:cs="Arial"/>
          <w:color w:val="auto"/>
          <w:sz w:val="32"/>
          <w:szCs w:val="32"/>
        </w:rPr>
        <w:t xml:space="preserve">乙方确保项目工业厂房竣工验收之日起，2年内每年亩均产值不低于667万元/年，每年亩均税收不低于30万元/年(产值、税收按项目全面竣工量产后2年内最多的年度计算) </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 xml:space="preserve"> 3年内亩均产值不低于1000 万元/年，亩均税收不低于50万元/年(产值、税收按项目全面竣工量产后3年内最多的年度计算)。若年税收贡献未达到的，则按税收贡献不足的比例，一次性补偿基础设施费，前两年考核期补偿金额=30万元/亩*项目土地面积(亩) * (1-税收贡献达成率) *县级留存比例，后三年考核期补偿金额=50万元/亩*项目土地面积(亩) * (1-税收贡献达成率)*县级留存比例，且不享受有关扶持政策，如已享受的，则按比例退还。若考核期前两年内项目年亩均税收达50万元/亩的，则整体项目考核结束，后三年无需再考核。</w:t>
      </w:r>
    </w:p>
    <w:p>
      <w:pPr>
        <w:ind w:firstLine="640" w:firstLineChars="200"/>
        <w:jc w:val="left"/>
        <w:rPr>
          <w:rFonts w:ascii="仿宋" w:hAnsi="仿宋" w:eastAsia="仿宋" w:cs="Arial"/>
          <w:b/>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五</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六</w:t>
      </w:r>
      <w:r>
        <w:rPr>
          <w:rFonts w:hint="eastAsia" w:ascii="仿宋" w:hAnsi="仿宋" w:eastAsia="仿宋" w:cs="Arial"/>
          <w:b/>
          <w:bCs/>
          <w:color w:val="auto"/>
          <w:sz w:val="32"/>
          <w:szCs w:val="32"/>
        </w:rPr>
        <w:t>条 协议书效力</w:t>
      </w:r>
    </w:p>
    <w:p>
      <w:pPr>
        <w:ind w:firstLine="640" w:firstLineChars="200"/>
        <w:jc w:val="both"/>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2.</w:t>
      </w:r>
      <w:r>
        <w:rPr>
          <w:rFonts w:hint="eastAsia" w:ascii="仿宋" w:hAnsi="仿宋" w:eastAsia="仿宋" w:cs="Arial"/>
          <w:color w:val="auto"/>
          <w:sz w:val="32"/>
          <w:szCs w:val="32"/>
        </w:rPr>
        <w:t>本协议未尽事宜，经双方协商一致，可另行签订补充协议，补充协议与本协议具有同等法律效力。</w:t>
      </w:r>
    </w:p>
    <w:p>
      <w:pPr>
        <w:rPr>
          <w:rFonts w:hint="default" w:ascii="仿宋" w:hAnsi="仿宋" w:eastAsia="仿宋" w:cs="Arial"/>
          <w:color w:val="auto"/>
          <w:sz w:val="32"/>
          <w:szCs w:val="32"/>
          <w:lang w:val="en-US" w:eastAsia="zh-CN"/>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年</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月</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日          日期：</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年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月</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3B86A75"/>
    <w:rsid w:val="03C73DEE"/>
    <w:rsid w:val="04853F9C"/>
    <w:rsid w:val="05361970"/>
    <w:rsid w:val="0678623E"/>
    <w:rsid w:val="06C37244"/>
    <w:rsid w:val="087C55E5"/>
    <w:rsid w:val="089260C7"/>
    <w:rsid w:val="09153D40"/>
    <w:rsid w:val="09B6085E"/>
    <w:rsid w:val="0AA57B61"/>
    <w:rsid w:val="0C2A3DAF"/>
    <w:rsid w:val="0C742940"/>
    <w:rsid w:val="0D096354"/>
    <w:rsid w:val="0F605FF0"/>
    <w:rsid w:val="0F7647B4"/>
    <w:rsid w:val="109F32A2"/>
    <w:rsid w:val="10D90D96"/>
    <w:rsid w:val="10FB725B"/>
    <w:rsid w:val="11A96F5F"/>
    <w:rsid w:val="12FC44E0"/>
    <w:rsid w:val="13225CD9"/>
    <w:rsid w:val="16273163"/>
    <w:rsid w:val="16284AA0"/>
    <w:rsid w:val="1694202C"/>
    <w:rsid w:val="174E545D"/>
    <w:rsid w:val="17C202D9"/>
    <w:rsid w:val="18031C72"/>
    <w:rsid w:val="18867AFC"/>
    <w:rsid w:val="19354D94"/>
    <w:rsid w:val="19566ED4"/>
    <w:rsid w:val="19807458"/>
    <w:rsid w:val="19D062B4"/>
    <w:rsid w:val="1B9548CD"/>
    <w:rsid w:val="1BB0704B"/>
    <w:rsid w:val="1C317426"/>
    <w:rsid w:val="1C663496"/>
    <w:rsid w:val="1CCB1518"/>
    <w:rsid w:val="1D5D4A42"/>
    <w:rsid w:val="1D8E2D2B"/>
    <w:rsid w:val="1DAC6A68"/>
    <w:rsid w:val="1DB36EA1"/>
    <w:rsid w:val="1DBA6C45"/>
    <w:rsid w:val="1E845EB8"/>
    <w:rsid w:val="20934BA0"/>
    <w:rsid w:val="20B21D15"/>
    <w:rsid w:val="21BB3A04"/>
    <w:rsid w:val="21D45B24"/>
    <w:rsid w:val="223932CB"/>
    <w:rsid w:val="25145B3D"/>
    <w:rsid w:val="251D7E5E"/>
    <w:rsid w:val="26B22A7B"/>
    <w:rsid w:val="27383C50"/>
    <w:rsid w:val="27AF36EA"/>
    <w:rsid w:val="28771AD1"/>
    <w:rsid w:val="28B50087"/>
    <w:rsid w:val="29CF60A3"/>
    <w:rsid w:val="29E61A13"/>
    <w:rsid w:val="2A2A7BED"/>
    <w:rsid w:val="2A82618E"/>
    <w:rsid w:val="2AAD53F3"/>
    <w:rsid w:val="2AD47A11"/>
    <w:rsid w:val="2B090704"/>
    <w:rsid w:val="2B682399"/>
    <w:rsid w:val="2C3B26C9"/>
    <w:rsid w:val="2C5509C3"/>
    <w:rsid w:val="2CD3170B"/>
    <w:rsid w:val="2CF772A7"/>
    <w:rsid w:val="2D770135"/>
    <w:rsid w:val="2F5834F4"/>
    <w:rsid w:val="30E244CE"/>
    <w:rsid w:val="31526B7D"/>
    <w:rsid w:val="323245A1"/>
    <w:rsid w:val="33587888"/>
    <w:rsid w:val="337A53D4"/>
    <w:rsid w:val="33F0055A"/>
    <w:rsid w:val="35B7287B"/>
    <w:rsid w:val="364A2A2C"/>
    <w:rsid w:val="3708183A"/>
    <w:rsid w:val="38501441"/>
    <w:rsid w:val="391B388F"/>
    <w:rsid w:val="3970453B"/>
    <w:rsid w:val="3B5D31DA"/>
    <w:rsid w:val="3BEA777F"/>
    <w:rsid w:val="3C5D7BC2"/>
    <w:rsid w:val="3CF41BD6"/>
    <w:rsid w:val="3D2C0EED"/>
    <w:rsid w:val="3D7F4265"/>
    <w:rsid w:val="3D9271F1"/>
    <w:rsid w:val="3DCD559A"/>
    <w:rsid w:val="3E443641"/>
    <w:rsid w:val="3E4671B3"/>
    <w:rsid w:val="3EFE4213"/>
    <w:rsid w:val="3F7A5158"/>
    <w:rsid w:val="3FB2071B"/>
    <w:rsid w:val="402A1091"/>
    <w:rsid w:val="41A30980"/>
    <w:rsid w:val="41BC39F2"/>
    <w:rsid w:val="42C27889"/>
    <w:rsid w:val="43F67581"/>
    <w:rsid w:val="44CA3F18"/>
    <w:rsid w:val="44E64C22"/>
    <w:rsid w:val="45522466"/>
    <w:rsid w:val="45DE4434"/>
    <w:rsid w:val="461D0AA5"/>
    <w:rsid w:val="47AC4FA4"/>
    <w:rsid w:val="487B755A"/>
    <w:rsid w:val="488B7004"/>
    <w:rsid w:val="48CE3CD8"/>
    <w:rsid w:val="48FD7562"/>
    <w:rsid w:val="4A304FB5"/>
    <w:rsid w:val="4A834031"/>
    <w:rsid w:val="4AC62C65"/>
    <w:rsid w:val="4B373F9C"/>
    <w:rsid w:val="4B7E784A"/>
    <w:rsid w:val="4B9C37F4"/>
    <w:rsid w:val="4BC27CD0"/>
    <w:rsid w:val="4BC351AD"/>
    <w:rsid w:val="4BC64786"/>
    <w:rsid w:val="4BDB2055"/>
    <w:rsid w:val="4CD90432"/>
    <w:rsid w:val="4D485F97"/>
    <w:rsid w:val="4DF8389B"/>
    <w:rsid w:val="4E1D4ABE"/>
    <w:rsid w:val="4EB77D91"/>
    <w:rsid w:val="4F775327"/>
    <w:rsid w:val="50962D6F"/>
    <w:rsid w:val="51F75E40"/>
    <w:rsid w:val="5303680F"/>
    <w:rsid w:val="5389470A"/>
    <w:rsid w:val="54425FE2"/>
    <w:rsid w:val="544C5A47"/>
    <w:rsid w:val="54C74F93"/>
    <w:rsid w:val="568A688B"/>
    <w:rsid w:val="56D30DAA"/>
    <w:rsid w:val="56E036DE"/>
    <w:rsid w:val="57371331"/>
    <w:rsid w:val="5737692F"/>
    <w:rsid w:val="5768389A"/>
    <w:rsid w:val="589457E3"/>
    <w:rsid w:val="58E65369"/>
    <w:rsid w:val="594B17F2"/>
    <w:rsid w:val="59C040A4"/>
    <w:rsid w:val="5B7C42D7"/>
    <w:rsid w:val="5C530093"/>
    <w:rsid w:val="5C881555"/>
    <w:rsid w:val="5C970D98"/>
    <w:rsid w:val="5CF32F48"/>
    <w:rsid w:val="5CFF157D"/>
    <w:rsid w:val="5E5F6A0E"/>
    <w:rsid w:val="5E8E54B9"/>
    <w:rsid w:val="5EDB70DB"/>
    <w:rsid w:val="5FE00A07"/>
    <w:rsid w:val="604C5786"/>
    <w:rsid w:val="615A6F19"/>
    <w:rsid w:val="61871CC8"/>
    <w:rsid w:val="640D1C21"/>
    <w:rsid w:val="641810B4"/>
    <w:rsid w:val="64397DDA"/>
    <w:rsid w:val="644D6DF9"/>
    <w:rsid w:val="64C8719F"/>
    <w:rsid w:val="64D63B7F"/>
    <w:rsid w:val="65017FD4"/>
    <w:rsid w:val="65A213B1"/>
    <w:rsid w:val="672236A1"/>
    <w:rsid w:val="672330FC"/>
    <w:rsid w:val="68D0020D"/>
    <w:rsid w:val="696276C9"/>
    <w:rsid w:val="696778D4"/>
    <w:rsid w:val="6AEF79A2"/>
    <w:rsid w:val="6B2F390E"/>
    <w:rsid w:val="6C8211A2"/>
    <w:rsid w:val="6CAB7FCE"/>
    <w:rsid w:val="6D9B6FB7"/>
    <w:rsid w:val="6E47422A"/>
    <w:rsid w:val="6EC41E14"/>
    <w:rsid w:val="6F522F8D"/>
    <w:rsid w:val="6FAB59F3"/>
    <w:rsid w:val="70492E6B"/>
    <w:rsid w:val="707428FE"/>
    <w:rsid w:val="70CC701F"/>
    <w:rsid w:val="71535DA0"/>
    <w:rsid w:val="71664424"/>
    <w:rsid w:val="726309DB"/>
    <w:rsid w:val="75722252"/>
    <w:rsid w:val="76046BEC"/>
    <w:rsid w:val="76606B4D"/>
    <w:rsid w:val="76876E6B"/>
    <w:rsid w:val="76C058E1"/>
    <w:rsid w:val="77440DBC"/>
    <w:rsid w:val="78B36EFA"/>
    <w:rsid w:val="78DF2DF3"/>
    <w:rsid w:val="7B2B5738"/>
    <w:rsid w:val="7B9408DF"/>
    <w:rsid w:val="7BC04E2B"/>
    <w:rsid w:val="7BE203C6"/>
    <w:rsid w:val="7C014F3D"/>
    <w:rsid w:val="7CB616AD"/>
    <w:rsid w:val="7F384493"/>
    <w:rsid w:val="7F45402F"/>
    <w:rsid w:val="7FDD300D"/>
    <w:rsid w:val="7FE2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character" w:customStyle="1" w:styleId="11">
    <w:name w:val="toolbarsep"/>
    <w:basedOn w:val="6"/>
    <w:qFormat/>
    <w:uiPriority w:val="0"/>
    <w:rPr>
      <w:color w:val="808080"/>
    </w:rPr>
  </w:style>
  <w:style w:type="character" w:customStyle="1" w:styleId="12">
    <w:name w:val="toolbaritem"/>
    <w:basedOn w:val="6"/>
    <w:qFormat/>
    <w:uiPriority w:val="0"/>
  </w:style>
  <w:style w:type="character" w:customStyle="1" w:styleId="13">
    <w:name w:val="toolbaritemover"/>
    <w:basedOn w:val="6"/>
    <w:qFormat/>
    <w:uiPriority w:val="0"/>
    <w:rPr>
      <w:shd w:val="clear" w:fill="FFE3A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1864</Words>
  <Characters>1937</Characters>
  <Lines>16</Lines>
  <Paragraphs>4</Paragraphs>
  <TotalTime>8</TotalTime>
  <ScaleCrop>false</ScaleCrop>
  <LinksUpToDate>false</LinksUpToDate>
  <CharactersWithSpaces>2086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BLJYZX</cp:lastModifiedBy>
  <cp:lastPrinted>2022-07-27T09:22:00Z</cp:lastPrinted>
  <dcterms:modified xsi:type="dcterms:W3CDTF">2023-02-17T01:45:47Z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BC9A01673F9145BEB6D574337F8D3A58</vt:lpwstr>
  </property>
</Properties>
</file>